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  <w:lang w:eastAsia="sk-SK"/>
        </w:rPr>
        <w:t>V Ý Z V A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b/>
          <w:bCs/>
          <w:sz w:val="32"/>
          <w:szCs w:val="32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sz w:val="24"/>
          <w:szCs w:val="24"/>
          <w:lang w:eastAsia="sk-SK"/>
        </w:rPr>
        <w:t>zákazka s nízkou hodnotou zadávaná podľa §117 zákona č. 343/2015 Z. z. o verejnom obstarávaní a o zmene a doplnení niektorých zákonov na dodanie tovarov s názvom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b/>
          <w:bCs/>
          <w:sz w:val="32"/>
          <w:szCs w:val="32"/>
          <w:lang w:eastAsia="sk-SK"/>
        </w:rPr>
        <w:t>„</w:t>
      </w:r>
      <w:r>
        <w:rPr>
          <w:rFonts w:cs="Calibri" w:eastAsia="Times New Roman"/>
          <w:b/>
          <w:bCs/>
          <w:sz w:val="32"/>
          <w:szCs w:val="32"/>
          <w:lang w:eastAsia="sk-SK"/>
        </w:rPr>
        <w:t>Nákup mäsa, mäsových a mliečnych výrobkov“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b/>
          <w:bCs/>
          <w:sz w:val="32"/>
          <w:szCs w:val="32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1. Identifikácia verejného obstarávateľa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Názov organizácie:  </w:t>
        <w:tab/>
        <w:tab/>
        <w:tab/>
      </w:r>
      <w:r>
        <w:rPr>
          <w:rFonts w:ascii="Calibri" w:cs="Calibri" w:hAnsi="Calibri"/>
          <w:bCs/>
          <w:sz w:val="22"/>
          <w:szCs w:val="22"/>
        </w:rPr>
        <w:t>Zariadenie pre seniorov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Adresa organizácie: </w:t>
        <w:tab/>
        <w:tab/>
        <w:tab/>
      </w:r>
      <w:r>
        <w:rPr>
          <w:rFonts w:ascii="Calibri" w:cs="Calibri" w:hAnsi="Calibri"/>
          <w:bCs/>
          <w:sz w:val="22"/>
          <w:szCs w:val="22"/>
        </w:rPr>
        <w:t>Sídl.1. mája č. 73, 093 01  Vranov nad Topľou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>IČO:</w:t>
        <w:tab/>
        <w:tab/>
        <w:tab/>
        <w:tab/>
        <w:tab/>
      </w:r>
      <w:r>
        <w:rPr>
          <w:rFonts w:ascii="Calibri" w:cs="Calibri" w:hAnsi="Calibri"/>
          <w:bCs/>
          <w:sz w:val="22"/>
          <w:szCs w:val="22"/>
        </w:rPr>
        <w:t>00696366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>DIČ:</w:t>
        <w:tab/>
        <w:tab/>
        <w:tab/>
        <w:tab/>
        <w:tab/>
      </w:r>
      <w:r>
        <w:rPr>
          <w:rFonts w:ascii="Calibri" w:cs="Calibri" w:hAnsi="Calibri"/>
          <w:bCs/>
          <w:sz w:val="22"/>
          <w:szCs w:val="22"/>
        </w:rPr>
        <w:t>2020629765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Krajina: </w:t>
        <w:tab/>
        <w:tab/>
        <w:tab/>
        <w:tab/>
      </w:r>
      <w:r>
        <w:rPr>
          <w:rFonts w:ascii="Calibri" w:cs="Calibri" w:hAnsi="Calibri"/>
          <w:sz w:val="22"/>
          <w:szCs w:val="22"/>
        </w:rPr>
        <w:t xml:space="preserve">Slovenská republika </w:t>
      </w:r>
    </w:p>
    <w:p>
      <w:pPr>
        <w:pStyle w:val="style30"/>
        <w:ind w:hanging="3525" w:left="4245" w:right="0"/>
      </w:pPr>
      <w:r>
        <w:rPr>
          <w:rFonts w:ascii="Calibri" w:cs="Calibri" w:hAnsi="Calibri"/>
          <w:b/>
          <w:bCs/>
          <w:sz w:val="22"/>
          <w:szCs w:val="22"/>
        </w:rPr>
        <w:t>Internetová adresa organizácie</w:t>
      </w:r>
      <w:r>
        <w:rPr>
          <w:rFonts w:ascii="Calibri" w:cs="Calibri" w:hAnsi="Calibri"/>
          <w:bCs/>
          <w:sz w:val="22"/>
          <w:szCs w:val="22"/>
        </w:rPr>
        <w:t xml:space="preserve">: </w:t>
        <w:tab/>
        <w:t>www.zpsvranov.sk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Kontaktná osoba: </w:t>
        <w:tab/>
        <w:tab/>
        <w:tab/>
      </w:r>
      <w:r>
        <w:rPr>
          <w:rFonts w:ascii="Calibri" w:cs="Calibri" w:hAnsi="Calibri"/>
          <w:bCs/>
          <w:sz w:val="22"/>
          <w:szCs w:val="22"/>
        </w:rPr>
        <w:t>Mgr. Ján Kuba – riaditeľ ZpS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sz w:val="22"/>
          <w:szCs w:val="22"/>
        </w:rPr>
        <w:t>mobil:</w:t>
      </w:r>
      <w:r>
        <w:rPr>
          <w:rFonts w:ascii="Calibri" w:cs="Calibri" w:hAnsi="Calibri"/>
          <w:bCs/>
          <w:sz w:val="22"/>
          <w:szCs w:val="22"/>
        </w:rPr>
        <w:t xml:space="preserve">  </w:t>
        <w:tab/>
        <w:tab/>
        <w:tab/>
        <w:tab/>
        <w:tab/>
        <w:t>+421 917 379271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>e-mail:</w:t>
        <w:tab/>
      </w:r>
      <w:r>
        <w:rPr>
          <w:rFonts w:ascii="Calibri" w:cs="Calibri" w:hAnsi="Calibri"/>
        </w:rPr>
        <w:tab/>
        <w:tab/>
        <w:tab/>
        <w:tab/>
      </w:r>
      <w:hyperlink r:id="rId2">
        <w:r>
          <w:rPr>
            <w:rStyle w:val="style20"/>
            <w:rFonts w:ascii="Calibri" w:cs="Calibri" w:hAnsi="Calibri"/>
            <w:sz w:val="20"/>
            <w:szCs w:val="20"/>
          </w:rPr>
          <w:t>riaditel@zpsvranov.sk</w:t>
        </w:r>
      </w:hyperlink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Stránkové hodiny verejného obstarávateľa v pracovných dňoch v čase od 08:00 hod. do 14:00 hod. Verejný obstarávateľ podľa § 7, ods. 1, písmeno d) zákona č. 343/2015 Z. z.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2. Typ zmluvy:</w:t>
      </w:r>
    </w:p>
    <w:p>
      <w:pPr>
        <w:pStyle w:val="style32"/>
        <w:numPr>
          <w:ilvl w:val="0"/>
          <w:numId w:val="9"/>
        </w:numPr>
        <w:spacing w:after="0" w:before="0" w:line="100" w:lineRule="atLeast"/>
        <w:contextualSpacing/>
        <w:jc w:val="both"/>
      </w:pPr>
      <w:r>
        <w:rPr>
          <w:rFonts w:cs="Calibri"/>
          <w:b/>
          <w:sz w:val="24"/>
          <w:szCs w:val="24"/>
        </w:rPr>
        <w:t>Rámcová kúpna zmluva</w:t>
      </w:r>
      <w:r>
        <w:rPr>
          <w:rFonts w:cs="Calibri"/>
          <w:sz w:val="24"/>
          <w:szCs w:val="24"/>
        </w:rPr>
        <w:t xml:space="preserve"> uzatvorená podľa § 409 a nasl. zákona č. 513/1991 Zb. Obchodný zákonník v znení neskorších predpisov</w:t>
      </w:r>
    </w:p>
    <w:p>
      <w:pPr>
        <w:pStyle w:val="style0"/>
        <w:numPr>
          <w:ilvl w:val="0"/>
          <w:numId w:val="9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Miesto dodania predmetu zákazky:</w:t>
      </w:r>
      <w:r>
        <w:rPr>
          <w:rFonts w:cs="Calibri" w:eastAsia="Times New Roman"/>
          <w:sz w:val="24"/>
          <w:szCs w:val="24"/>
          <w:lang w:eastAsia="sk-SK"/>
        </w:rPr>
        <w:t xml:space="preserve"> Prešovský kraj, Okres Vranov nad Topľou,                         k.ú. Vranov nad Topľou, Zariadenie pre seniorov, Vranov nad Topľou.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3. Podrobný opis predmetu zákazky a jeho rozsah:</w:t>
      </w:r>
    </w:p>
    <w:p>
      <w:pPr>
        <w:pStyle w:val="style0"/>
        <w:numPr>
          <w:ilvl w:val="0"/>
          <w:numId w:val="2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Zatriedenie zákazky podľa CPV: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</w:p>
    <w:p>
      <w:pPr>
        <w:pStyle w:val="style0"/>
        <w:numPr>
          <w:ilvl w:val="1"/>
          <w:numId w:val="2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15100000-9</w:t>
        <w:tab/>
        <w:t>živočíšne výrobky, mäso a mäsové výrobky</w:t>
      </w:r>
    </w:p>
    <w:p>
      <w:pPr>
        <w:pStyle w:val="style0"/>
        <w:numPr>
          <w:ilvl w:val="1"/>
          <w:numId w:val="2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15896000-5    hlboko mrazené výrobky</w:t>
      </w:r>
    </w:p>
    <w:p>
      <w:pPr>
        <w:pStyle w:val="style0"/>
        <w:numPr>
          <w:ilvl w:val="1"/>
          <w:numId w:val="2"/>
        </w:numPr>
        <w:spacing w:after="0" w:before="0" w:line="100" w:lineRule="atLeast"/>
        <w:contextualSpacing w:val="false"/>
      </w:pPr>
      <w:r>
        <w:rPr>
          <w:rFonts w:ascii="Times New Roman" w:cs="Times New Roman" w:eastAsia="Times New Roman" w:hAnsi="Times New Roman"/>
          <w:sz w:val="24"/>
          <w:szCs w:val="24"/>
          <w:lang w:eastAsia="sk-SK"/>
        </w:rPr>
        <w:t>15500000-3     Mliečne výrobky</w:t>
      </w:r>
    </w:p>
    <w:p>
      <w:pPr>
        <w:pStyle w:val="style0"/>
        <w:numPr>
          <w:ilvl w:val="1"/>
          <w:numId w:val="2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60000000-8</w:t>
        <w:tab/>
        <w:t>dopravné služby (bez prepravy odpadu)</w:t>
      </w:r>
    </w:p>
    <w:p>
      <w:pPr>
        <w:pStyle w:val="style0"/>
        <w:spacing w:after="0" w:before="0" w:line="100" w:lineRule="atLeast"/>
        <w:ind w:hanging="0" w:left="144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32"/>
        <w:numPr>
          <w:ilvl w:val="0"/>
          <w:numId w:val="2"/>
        </w:numPr>
        <w:spacing w:after="0" w:before="0" w:line="100" w:lineRule="atLeast"/>
        <w:contextualSpacing/>
      </w:pPr>
      <w:r>
        <w:rPr>
          <w:rFonts w:cs="Calibri" w:eastAsia="Times New Roman"/>
          <w:b/>
          <w:bCs/>
          <w:sz w:val="24"/>
          <w:szCs w:val="24"/>
          <w:lang w:eastAsia="sk-SK"/>
        </w:rPr>
        <w:t>Názov zákazky: Nákup mäsa ,mäsových a mliečnych výrobkov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Opis predmetu zákazky:</w:t>
      </w:r>
    </w:p>
    <w:p>
      <w:pPr>
        <w:pStyle w:val="style0"/>
        <w:spacing w:after="0" w:before="0" w:line="100" w:lineRule="atLeast"/>
        <w:ind w:hanging="0" w:left="0" w:right="-18"/>
        <w:contextualSpacing w:val="false"/>
        <w:jc w:val="both"/>
      </w:pPr>
      <w:r>
        <w:rPr>
          <w:rFonts w:cs="Calibri" w:eastAsia="Times New Roman"/>
          <w:sz w:val="24"/>
          <w:szCs w:val="24"/>
        </w:rPr>
        <w:t xml:space="preserve">Predmetom zákazky je pravidelné zabezpečenie dodávok </w:t>
      </w:r>
      <w:r>
        <w:rPr>
          <w:rFonts w:cs="Calibri" w:eastAsia="Times New Roman"/>
          <w:b/>
          <w:sz w:val="24"/>
          <w:szCs w:val="24"/>
        </w:rPr>
        <w:t xml:space="preserve">mäsa, mäsových a mliečnych  výrobkov, mrazených a iných potravín pre jedáleň Zariadenia pre seniorov, </w:t>
      </w:r>
      <w:r>
        <w:rPr>
          <w:rFonts w:cs="Calibri" w:eastAsia="Times New Roman"/>
          <w:sz w:val="24"/>
          <w:szCs w:val="24"/>
        </w:rPr>
        <w:t>podľa Prílohy č. 1, na základe čiastkových objednávok podľa aktuálnej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potreby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prevádzky jedálne zariadenia pre seniorov počas trvania záväzku (12 mesiacov) s ručením predávajúceho, že všetky dodávané tovary zodpovedajú požadovaným platným normám a je označený v zmysle všeobecne záväzných právnych predpisov a osobitných predpisov, týkajúcich sa podmienok výroby, dovozu, predaja a označovania výrobkov pri potravinách, v zmysle zákona o potravinách, Potravinového kódexu SR a zákona o ochrane spotrebiteľa. Tovar musí byť čerstvý/mrazený, I. akostnej triedy, dodávaný v požadovaných baleniach a množstve.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Súčasťou predmetu zákazky sú aj súvisiace služby spojené s dopravou a manipuláciou tovaru na mieste dodania vrátane dovozu a odvozu reklamovaného tovaru. Preprava predmetu zákazky musí byť zabezpečovaná vozidlom, ktoré je spôsobilé na prepravu predmetu zákazky.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 xml:space="preserve">Množstvá jednotlivých druhov tovaru budú spresňované pravidelnými objednávkami. Druhová skladba - špecifikácia jednotlivých položiek tovaru je uvedená v prílohe č. 1 tejto výzvy. 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/>
          <w:color w:val="000000"/>
          <w:sz w:val="24"/>
          <w:szCs w:val="24"/>
        </w:rPr>
        <w:t xml:space="preserve">Doručenie tovaru bude až do skladových priestorov jedálne/kuchyne vždy ráno do </w:t>
      </w:r>
      <w:r>
        <w:rPr>
          <w:rFonts w:cs="Calibri"/>
          <w:b/>
          <w:color w:val="000000"/>
          <w:sz w:val="24"/>
          <w:szCs w:val="24"/>
        </w:rPr>
        <w:t>6.30-8,00 hodiny</w:t>
      </w:r>
      <w:r>
        <w:rPr>
          <w:rFonts w:cs="Calibri"/>
          <w:color w:val="000000"/>
          <w:sz w:val="24"/>
          <w:szCs w:val="24"/>
        </w:rPr>
        <w:t>. Objednávky hlási vedúca jedálne každý deň vopred telefonicky do 15,00 hod.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Pri určení predpokladaného množstva tovaru vychádzal verejný obstarávateľ z predchádzajúceho obdobia. Verejný obstarávateľ nie je viazaný predpokladaným množstvom tovaru. Skutočne odobraté množstvo tovaru sa môže líšiť od predpokladaného množstva podľa nevyhnutnej potreby verejného obstarávateľa počas celej doby trvania záväzku.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Obaly musia byť v súlade s Potravinovým kódexom SR a zákonom č.152/1995 Z.z. o potravinách v znení neskorších predpisov.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Objednávateľ je oprávnený reklamovať vady akosti tovaru u dodávateľa najneskôr do 3 pracovných dní po dodaní tovaru. Vadný tovar dodávateľ vymení v dodatočnej lehote dohodnutej s objednávateľom. Reklamačné konanie musí byť ukončené do 30 dní od uplatnenia nárokov z vád tovaru. Náklady na dopravu súvisiacu s reklamovaním tovarom znáša dodávateľ v plnom rozsahu.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</w:r>
    </w:p>
    <w:p>
      <w:pPr>
        <w:pStyle w:val="style30"/>
        <w:jc w:val="both"/>
      </w:pPr>
      <w:r>
        <w:rPr>
          <w:rFonts w:ascii="Calibri" w:cs="Calibri" w:hAnsi="Calibri"/>
          <w:bCs/>
          <w:u w:val="single"/>
        </w:rPr>
        <w:t>Minimálne požiadavky verejného obstarávateľa:</w:t>
      </w:r>
    </w:p>
    <w:p>
      <w:pPr>
        <w:pStyle w:val="style30"/>
        <w:spacing w:after="0" w:before="28"/>
        <w:ind w:hanging="283" w:left="567" w:right="0"/>
        <w:contextualSpacing w:val="false"/>
        <w:jc w:val="both"/>
      </w:pPr>
      <w:r>
        <w:rPr>
          <w:rFonts w:ascii="Calibri" w:cs="Calibri" w:hAnsi="Calibri"/>
          <w:bCs/>
        </w:rPr>
        <w:t xml:space="preserve">1. Verejný obstarávateľ bude od víťazného uchádzača nakupovať </w:t>
      </w:r>
      <w:r>
        <w:rPr>
          <w:rFonts w:ascii="Calibri" w:cs="Calibri" w:hAnsi="Calibri"/>
          <w:b/>
          <w:bCs/>
        </w:rPr>
        <w:t xml:space="preserve">čerstvé mäsá a výrobky </w:t>
      </w:r>
      <w:r>
        <w:rPr>
          <w:rFonts w:ascii="Calibri" w:cs="Calibri" w:hAnsi="Calibri"/>
          <w:bCs/>
          <w:i/>
        </w:rPr>
        <w:t>(môžu byť aj balené aj nebalené)</w:t>
      </w:r>
      <w:r>
        <w:rPr>
          <w:rFonts w:ascii="Calibri" w:cs="Calibri" w:hAnsi="Calibri"/>
          <w:bCs/>
        </w:rPr>
        <w:t xml:space="preserve">, </w:t>
      </w:r>
      <w:r>
        <w:rPr>
          <w:rFonts w:ascii="Calibri" w:cs="Calibri" w:hAnsi="Calibri"/>
          <w:b/>
          <w:bCs/>
        </w:rPr>
        <w:t xml:space="preserve">nie rozmrazené, </w:t>
      </w:r>
      <w:r>
        <w:rPr>
          <w:rFonts w:ascii="Calibri" w:cs="Calibri" w:hAnsi="Calibri"/>
          <w:bCs/>
        </w:rPr>
        <w:t>a taktiež bude nakupovať</w:t>
      </w:r>
      <w:r>
        <w:rPr>
          <w:rFonts w:ascii="Calibri" w:cs="Calibri" w:hAnsi="Calibri"/>
          <w:b/>
          <w:bCs/>
        </w:rPr>
        <w:t xml:space="preserve"> mrazené mäsá a potraviny. </w:t>
      </w:r>
      <w:r>
        <w:rPr>
          <w:rFonts w:ascii="Times New Roman" w:cs="Times New Roman" w:hAnsi="Times New Roman"/>
          <w:bCs/>
        </w:rPr>
        <w:t>Dodané mliečne výrobky musia byť čerstvé v schladenom stave/nezmrazené/ v prvotriednej kvalite. S</w:t>
      </w:r>
      <w:r>
        <w:rPr>
          <w:rFonts w:ascii="Times New Roman" w:cs="Times New Roman" w:eastAsia="Times New Roman" w:hAnsi="Times New Roman"/>
          <w:bCs/>
          <w:lang w:eastAsia="sk-SK"/>
        </w:rPr>
        <w:t>yry, jogurty a kyslomliečne výrobky bez rastlinných tukov, farbív, konzervačných látok a iných prísad. Ochutené mlieko a fermentované mliečne výrobky musia mať min. 90% mliečnej zložky a max. 7% cukru alebo medu, bez zahusťovadiel, syntetických farbív, aróm a konzervačných látok.</w:t>
      </w:r>
    </w:p>
    <w:p>
      <w:pPr>
        <w:pStyle w:val="style30"/>
        <w:ind w:hanging="0" w:left="567" w:right="0"/>
        <w:jc w:val="both"/>
      </w:pPr>
      <w:r>
        <w:rPr>
          <w:rFonts w:ascii="Calibri" w:cs="Calibri" w:hAnsi="Calibri"/>
          <w:bCs/>
        </w:rPr>
        <w:t xml:space="preserve">V prípade ak víťazný uchádzač na základe čiastkovej objednávky dodá rozmrazené mäso a výrobky, </w:t>
      </w:r>
      <w:r>
        <w:rPr>
          <w:rFonts w:ascii="Calibri" w:cs="Calibri" w:hAnsi="Calibri"/>
          <w:b/>
          <w:bCs/>
        </w:rPr>
        <w:t>bude sa táto skutočnosť považovať za hrubé porušenie.</w:t>
      </w:r>
    </w:p>
    <w:p>
      <w:pPr>
        <w:pStyle w:val="style30"/>
        <w:ind w:hanging="283" w:left="567" w:right="0"/>
        <w:jc w:val="both"/>
      </w:pPr>
      <w:r>
        <w:rPr>
          <w:rFonts w:ascii="Calibri" w:cs="Calibri" w:hAnsi="Calibri"/>
          <w:bCs/>
        </w:rPr>
        <w:t xml:space="preserve">2. Keďže ide o komoditu, ktorá je určená na predaj bez balenia </w:t>
      </w:r>
      <w:r>
        <w:rPr>
          <w:rFonts w:ascii="Calibri" w:cs="Calibri" w:hAnsi="Calibri"/>
          <w:b/>
          <w:bCs/>
        </w:rPr>
        <w:t>„ nebalené mäso“</w:t>
      </w:r>
      <w:r>
        <w:rPr>
          <w:rFonts w:ascii="Calibri" w:cs="Calibri" w:hAnsi="Calibri"/>
          <w:bCs/>
        </w:rPr>
        <w:t xml:space="preserve">  víťazný uchádzač pri každom dodaní mäsa na dodacom liste uvedie minimálne tieto údaje:</w:t>
      </w:r>
    </w:p>
    <w:p>
      <w:pPr>
        <w:pStyle w:val="style30"/>
        <w:numPr>
          <w:ilvl w:val="0"/>
          <w:numId w:val="11"/>
        </w:numPr>
        <w:suppressAutoHyphens w:val="true"/>
        <w:ind w:hanging="141" w:left="1134" w:right="0"/>
        <w:jc w:val="both"/>
        <w:textAlignment w:val="baseline"/>
      </w:pPr>
      <w:r>
        <w:rPr>
          <w:rFonts w:ascii="Calibri" w:cs="Calibri" w:hAnsi="Calibri"/>
          <w:bCs/>
        </w:rPr>
        <w:t>názov potraviny,</w:t>
      </w:r>
    </w:p>
    <w:p>
      <w:pPr>
        <w:pStyle w:val="style30"/>
        <w:numPr>
          <w:ilvl w:val="0"/>
          <w:numId w:val="10"/>
        </w:numPr>
        <w:suppressAutoHyphens w:val="true"/>
        <w:ind w:hanging="141" w:left="1134" w:right="0"/>
        <w:jc w:val="both"/>
        <w:textAlignment w:val="baseline"/>
      </w:pPr>
      <w:r>
        <w:rPr>
          <w:rFonts w:ascii="Calibri" w:cs="Calibri" w:hAnsi="Calibri"/>
          <w:bCs/>
        </w:rPr>
        <w:t>údaj podľa osobitného predpisu , ktorý sa uvádza za slovom „Obsahuje:“</w:t>
      </w:r>
    </w:p>
    <w:p>
      <w:pPr>
        <w:pStyle w:val="style30"/>
        <w:numPr>
          <w:ilvl w:val="0"/>
          <w:numId w:val="10"/>
        </w:numPr>
        <w:suppressAutoHyphens w:val="true"/>
        <w:ind w:hanging="360" w:left="993" w:right="0"/>
        <w:jc w:val="both"/>
        <w:textAlignment w:val="baseline"/>
      </w:pPr>
      <w:r>
        <w:rPr>
          <w:rFonts w:ascii="Calibri" w:cs="Calibri" w:hAnsi="Calibri"/>
          <w:bCs/>
        </w:rPr>
        <w:t>netto množstvo podľa osobitného predpisu,</w:t>
      </w:r>
    </w:p>
    <w:p>
      <w:pPr>
        <w:pStyle w:val="style30"/>
        <w:numPr>
          <w:ilvl w:val="0"/>
          <w:numId w:val="10"/>
        </w:numPr>
        <w:suppressAutoHyphens w:val="true"/>
        <w:ind w:hanging="141" w:left="1134" w:right="0"/>
        <w:jc w:val="both"/>
        <w:textAlignment w:val="baseline"/>
      </w:pPr>
      <w:r>
        <w:rPr>
          <w:rFonts w:ascii="Calibri" w:cs="Calibri" w:hAnsi="Calibri"/>
          <w:bCs/>
        </w:rPr>
        <w:t xml:space="preserve">dátum minimálnej trvanlivosti alebo dátumom spotreby počas ktorej si mäso     </w:t>
      </w:r>
    </w:p>
    <w:p>
      <w:pPr>
        <w:pStyle w:val="style30"/>
        <w:suppressAutoHyphens w:val="true"/>
        <w:ind w:hanging="0" w:left="1134" w:right="0"/>
        <w:jc w:val="both"/>
        <w:textAlignment w:val="baseline"/>
      </w:pPr>
      <w:r>
        <w:rPr>
          <w:rFonts w:ascii="Calibri" w:cs="Calibri" w:hAnsi="Calibri"/>
          <w:bCs/>
        </w:rPr>
        <w:t xml:space="preserve">     </w:t>
      </w:r>
      <w:r>
        <w:rPr>
          <w:rFonts w:ascii="Calibri" w:cs="Calibri" w:hAnsi="Calibri"/>
          <w:bCs/>
        </w:rPr>
        <w:t>udržiava svoje úžitkové vlastnosti.</w:t>
      </w:r>
    </w:p>
    <w:p>
      <w:pPr>
        <w:pStyle w:val="style30"/>
        <w:ind w:hanging="283" w:left="567" w:right="0"/>
        <w:jc w:val="both"/>
      </w:pPr>
      <w:r>
        <w:rPr>
          <w:rFonts w:ascii="Calibri" w:cs="Calibri" w:hAnsi="Calibri"/>
          <w:bCs/>
        </w:rPr>
        <w:t xml:space="preserve">3. Verejný obstarávateľ vyžaduje dodávku mäsa v lehote, </w:t>
      </w:r>
      <w:r>
        <w:rPr>
          <w:rFonts w:ascii="Calibri" w:cs="Calibri" w:hAnsi="Calibri"/>
        </w:rPr>
        <w:t xml:space="preserve">v ktorej z doby spotreby vyznačenej na dodacom liste </w:t>
      </w:r>
      <w:r>
        <w:rPr>
          <w:rFonts w:ascii="Calibri" w:cs="Calibri" w:hAnsi="Calibri"/>
          <w:i/>
        </w:rPr>
        <w:t xml:space="preserve">(na obale mäsa a výrokov) </w:t>
      </w:r>
      <w:r>
        <w:rPr>
          <w:rFonts w:ascii="Calibri" w:cs="Calibri" w:hAnsi="Calibri"/>
          <w:b/>
        </w:rPr>
        <w:t>mäsu,  výrobkom a potravinám neuplynula viac ako 1/3</w:t>
      </w:r>
      <w:r>
        <w:rPr>
          <w:rFonts w:ascii="Calibri" w:cs="Calibri" w:hAnsi="Calibri"/>
        </w:rPr>
        <w:t xml:space="preserve">. </w:t>
      </w:r>
      <w:r>
        <w:rPr>
          <w:rFonts w:ascii="Calibri" w:cs="Calibri" w:hAnsi="Calibri"/>
          <w:bCs/>
        </w:rPr>
        <w:t xml:space="preserve">V prípade ak uchádzač poruší svoje povinnosti pri </w:t>
      </w:r>
      <w:r>
        <w:rPr>
          <w:rFonts w:ascii="Calibri" w:cs="Calibri" w:hAnsi="Calibri"/>
          <w:b/>
          <w:bCs/>
        </w:rPr>
        <w:t>v označovaní mäsa a výrobkov alebo mäsu a výrobkom uplynie viac ako  1/3 z doby spotreby</w:t>
      </w:r>
      <w:r>
        <w:rPr>
          <w:rFonts w:ascii="Calibri" w:cs="Calibri" w:hAnsi="Calibri"/>
          <w:bCs/>
        </w:rPr>
        <w:t xml:space="preserve">, verejný obstarávateľ takúto dodávku mäsa a výrobkov, </w:t>
      </w:r>
      <w:r>
        <w:rPr>
          <w:rFonts w:ascii="Calibri" w:cs="Calibri" w:hAnsi="Calibri"/>
          <w:b/>
          <w:bCs/>
        </w:rPr>
        <w:t xml:space="preserve">nepreberie a bude túto skutočnosť považovať za hrubé porušenie.  </w:t>
      </w:r>
    </w:p>
    <w:p>
      <w:pPr>
        <w:pStyle w:val="style30"/>
        <w:ind w:hanging="283" w:left="567" w:right="0"/>
        <w:jc w:val="both"/>
      </w:pPr>
      <w:r>
        <w:rPr>
          <w:rFonts w:ascii="Calibri" w:cs="Calibri" w:hAnsi="Calibri"/>
        </w:rPr>
        <w:t xml:space="preserve">4. Verejný obstarávateľ pri realizácii dodávok uchádzačom bude môcť </w:t>
      </w:r>
      <w:r>
        <w:rPr>
          <w:rFonts w:ascii="Calibri" w:cs="Calibri" w:hAnsi="Calibri"/>
          <w:b/>
          <w:bCs/>
        </w:rPr>
        <w:t>vykonať kontrolu preberaného tovaru z dôvodu overenia či dodaný tovar má požadovanú kvalitu a spĺňa parametre čerstvosti</w:t>
      </w:r>
      <w:r>
        <w:rPr>
          <w:rFonts w:ascii="Calibri" w:cs="Calibri" w:hAnsi="Calibri"/>
        </w:rPr>
        <w:t xml:space="preserve"> napr. overením aký čas zostáva do dátumu spotreby resp. dátumu minimálnej trvanlivosti. Tovar bude preberať na základe </w:t>
      </w:r>
      <w:r>
        <w:rPr>
          <w:rFonts w:ascii="Calibri" w:cs="Calibri" w:hAnsi="Calibri"/>
          <w:b/>
        </w:rPr>
        <w:t>s</w:t>
      </w:r>
      <w:r>
        <w:rPr>
          <w:rFonts w:ascii="Calibri" w:cs="Calibri" w:hAnsi="Calibri"/>
          <w:b/>
          <w:iCs/>
        </w:rPr>
        <w:t xml:space="preserve">enzorickej analýzy, t. j. </w:t>
      </w:r>
      <w:r>
        <w:rPr>
          <w:rFonts w:ascii="Calibri" w:cs="Calibri" w:hAnsi="Calibri"/>
          <w:b/>
          <w:bCs/>
        </w:rPr>
        <w:t xml:space="preserve">na základe zmyslového posúdenia – farba, vôňa tovaru. </w:t>
      </w:r>
    </w:p>
    <w:p>
      <w:pPr>
        <w:pStyle w:val="style30"/>
        <w:ind w:hanging="0" w:left="567" w:right="0"/>
        <w:jc w:val="both"/>
      </w:pPr>
      <w:r>
        <w:rPr>
          <w:rFonts w:ascii="Calibri" w:cs="Calibri" w:hAnsi="Calibri"/>
          <w:bCs/>
        </w:rPr>
        <w:t xml:space="preserve">V prípade ak uchádzač poruší zásadu čerstvosti a kvality dodaného tovaru, verejný obstarávateľ tento nepreberie a bude to považovať za hrubé porušenie.  </w:t>
      </w:r>
    </w:p>
    <w:p>
      <w:pPr>
        <w:pStyle w:val="style30"/>
        <w:ind w:hanging="283" w:left="567" w:right="0"/>
        <w:jc w:val="both"/>
      </w:pPr>
      <w:r>
        <w:rPr>
          <w:rFonts w:ascii="Calibri" w:cs="Calibri" w:hAnsi="Calibri"/>
          <w:bCs/>
        </w:rPr>
        <w:t xml:space="preserve">5. Verejný obstarávateľ bude od víťazného uchádzača nakupovať </w:t>
      </w:r>
      <w:r>
        <w:rPr>
          <w:rFonts w:ascii="Calibri" w:cs="Calibri" w:hAnsi="Calibri"/>
          <w:b/>
          <w:bCs/>
        </w:rPr>
        <w:t>čerstvé mäso a výrobky</w:t>
      </w:r>
      <w:r>
        <w:rPr>
          <w:rFonts w:ascii="Calibri" w:cs="Calibri" w:hAnsi="Calibri"/>
          <w:bCs/>
        </w:rPr>
        <w:t xml:space="preserve">, nie rozmrazené </w:t>
      </w:r>
      <w:r>
        <w:rPr>
          <w:rFonts w:ascii="Calibri" w:cs="Calibri" w:hAnsi="Calibri"/>
          <w:b/>
        </w:rPr>
        <w:t>bez prívlastkov krehčené, šťavnaté, solené, mäsový prípravok a</w:t>
      </w:r>
      <w:r>
        <w:rPr>
          <w:rFonts w:ascii="Calibri" w:cs="Calibri" w:hAnsi="Calibri"/>
          <w:bCs/>
        </w:rPr>
        <w:t xml:space="preserve"> tiež nakupovať </w:t>
      </w:r>
      <w:r>
        <w:rPr>
          <w:rFonts w:ascii="Calibri" w:cs="Calibri" w:hAnsi="Calibri"/>
          <w:b/>
          <w:bCs/>
        </w:rPr>
        <w:t>mrazené mäso</w:t>
      </w:r>
      <w:r>
        <w:rPr>
          <w:rFonts w:ascii="Calibri" w:cs="Calibri" w:hAnsi="Calibri"/>
          <w:bCs/>
        </w:rPr>
        <w:t xml:space="preserve">. </w:t>
      </w:r>
    </w:p>
    <w:p>
      <w:pPr>
        <w:pStyle w:val="style30"/>
        <w:ind w:hanging="0" w:left="567" w:right="0"/>
        <w:jc w:val="both"/>
      </w:pPr>
      <w:r>
        <w:rPr>
          <w:rFonts w:ascii="Calibri" w:cs="Calibri" w:hAnsi="Calibri"/>
          <w:bCs/>
        </w:rPr>
        <w:t xml:space="preserve">V prípade ak víťazný uchádzač na základe čiastkovej objednávky dodá rozmrazené mäso a výrobky, a mäso a výrobky budú obsahovať </w:t>
      </w:r>
      <w:r>
        <w:rPr>
          <w:rFonts w:ascii="Calibri" w:cs="Calibri" w:hAnsi="Calibri"/>
          <w:b/>
        </w:rPr>
        <w:t>prívlastok krehčené, šťavnaté, solené, mäsový prípravok</w:t>
      </w:r>
      <w:r>
        <w:rPr>
          <w:rFonts w:ascii="Calibri" w:cs="Calibri" w:hAnsi="Calibri"/>
          <w:bCs/>
        </w:rPr>
        <w:t xml:space="preserve">, </w:t>
      </w:r>
      <w:r>
        <w:rPr>
          <w:rFonts w:ascii="Calibri" w:cs="Calibri" w:hAnsi="Calibri"/>
          <w:b/>
          <w:bCs/>
        </w:rPr>
        <w:t>bude sa táto skutočnosť považovať za hrubé porušenie.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ind w:hanging="0" w:left="4" w:right="20"/>
        <w:contextualSpacing w:val="false"/>
        <w:jc w:val="both"/>
      </w:pPr>
      <w:r>
        <w:rPr>
          <w:rFonts w:cs="Calibri" w:eastAsia="Times New Roman"/>
          <w:sz w:val="24"/>
          <w:szCs w:val="24"/>
        </w:rPr>
        <w:t xml:space="preserve">Uchádzač predloží cenovú ponuku na </w:t>
      </w:r>
      <w:r>
        <w:rPr>
          <w:rFonts w:cs="Calibri" w:eastAsia="Times New Roman"/>
          <w:b/>
          <w:sz w:val="24"/>
          <w:szCs w:val="24"/>
        </w:rPr>
        <w:t>celý sortiment predmetu zákazky</w:t>
      </w:r>
      <w:r>
        <w:rPr>
          <w:rFonts w:cs="Calibri" w:eastAsia="Times New Roman"/>
          <w:sz w:val="24"/>
          <w:szCs w:val="24"/>
        </w:rPr>
        <w:t>. V prípade, že nebudú nacenené niektoré druhy požadovaných výrobkov, nebude takáto ponuka uchádzača akceptovaná. Uchádzač bude oceňovať jednotkovú cenu tovaru priamo v tabuľke Príloha č. l. Uvedené množstvo výrobkov je len orientačné, vyčíslené na základe spotreby za obdobie 12 mesiacov a predpokladanej spotreby na nasledujúce obdobie 12 mesiacov. Objednávateľ sa nezaručuje odobrať uvedené predpokladané množstvá.</w:t>
      </w:r>
    </w:p>
    <w:p>
      <w:pPr>
        <w:pStyle w:val="style0"/>
        <w:tabs>
          <w:tab w:leader="none" w:pos="375" w:val="left"/>
        </w:tabs>
        <w:spacing w:after="0" w:before="0" w:line="100" w:lineRule="atLeast"/>
        <w:ind w:hanging="0" w:left="4" w:right="0"/>
        <w:contextualSpacing w:val="false"/>
        <w:jc w:val="both"/>
      </w:pPr>
      <w:r>
        <w:rPr>
          <w:rFonts w:cs="Calibri" w:eastAsia="Times New Roman"/>
          <w:sz w:val="24"/>
          <w:szCs w:val="24"/>
        </w:rPr>
      </w:r>
    </w:p>
    <w:p>
      <w:pPr>
        <w:pStyle w:val="style0"/>
        <w:tabs>
          <w:tab w:leader="none" w:pos="220" w:val="left"/>
        </w:tabs>
        <w:spacing w:after="0" w:before="0" w:line="100" w:lineRule="atLeast"/>
        <w:ind w:hanging="0" w:left="0" w:right="20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 xml:space="preserve">Uchádzači spracujú cenu za dodanie tovaru v členení bez DPH, DPH, cena vrátane DPH, ak uchádzač nie je platcom DPH, upozorní na to v ponuke. Uchádzači spracujú cenu na základe </w:t>
      </w:r>
      <w:r>
        <w:rPr>
          <w:rFonts w:cs="Calibri" w:eastAsia="Times New Roman"/>
          <w:color w:val="FF0000"/>
          <w:sz w:val="24"/>
          <w:szCs w:val="24"/>
          <w:lang w:eastAsia="sk-SK"/>
        </w:rPr>
        <w:t>druhovej sklady – špecifikácie tovaru</w:t>
      </w:r>
      <w:r>
        <w:rPr>
          <w:rFonts w:cs="Calibri" w:eastAsia="Times New Roman"/>
          <w:sz w:val="24"/>
          <w:szCs w:val="24"/>
          <w:lang w:eastAsia="sk-SK"/>
        </w:rPr>
        <w:t>, ktorý tvorí prílohu č. 1 tejto výzvy.</w:t>
      </w:r>
      <w:r>
        <w:rPr>
          <w:rFonts w:cs="Calibri" w:eastAsia="Times New Roman"/>
          <w:b/>
          <w:sz w:val="24"/>
          <w:szCs w:val="24"/>
        </w:rPr>
        <w:t xml:space="preserve"> </w:t>
      </w:r>
    </w:p>
    <w:p>
      <w:pPr>
        <w:pStyle w:val="style0"/>
        <w:tabs>
          <w:tab w:leader="none" w:pos="220" w:val="left"/>
        </w:tabs>
        <w:spacing w:after="0" w:before="0" w:line="100" w:lineRule="atLeast"/>
        <w:ind w:hanging="0" w:left="0" w:right="20"/>
        <w:contextualSpacing w:val="false"/>
        <w:jc w:val="both"/>
      </w:pPr>
      <w:r>
        <w:rPr>
          <w:rFonts w:cs="Calibri" w:eastAsia="Times New Roman"/>
          <w:b/>
          <w:sz w:val="24"/>
          <w:szCs w:val="24"/>
        </w:rPr>
        <w:t xml:space="preserve">Celková cena bude navrhnutá v EUR s DPH </w:t>
      </w:r>
      <w:r>
        <w:rPr>
          <w:rFonts w:cs="Calibri" w:eastAsia="Times New Roman"/>
          <w:sz w:val="24"/>
          <w:szCs w:val="24"/>
        </w:rPr>
        <w:t>za celý predmet obstarávania a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bude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zohľadňovať náklady na dopravu na miesto dodania, vyloženie príp. naloženie tovaru.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tabs>
          <w:tab w:leader="none" w:pos="220" w:val="left"/>
        </w:tabs>
        <w:spacing w:after="0" w:before="0" w:line="100" w:lineRule="atLeast"/>
        <w:ind w:hanging="0" w:left="0" w:right="20"/>
        <w:contextualSpacing w:val="false"/>
        <w:jc w:val="both"/>
      </w:pPr>
      <w:r>
        <w:rPr>
          <w:rFonts w:cs="Calibri" w:eastAsia="Times New Roman"/>
          <w:sz w:val="24"/>
          <w:szCs w:val="24"/>
          <w:u w:val="single"/>
        </w:rPr>
        <w:t>Ostatné podmienky</w:t>
      </w:r>
      <w:r>
        <w:rPr>
          <w:rFonts w:cs="Calibri" w:eastAsia="Times New Roman"/>
          <w:sz w:val="24"/>
          <w:szCs w:val="24"/>
        </w:rPr>
        <w:t xml:space="preserve"> - viď. návrh Rámcovej dohody</w:t>
      </w:r>
      <w:r>
        <w:rPr>
          <w:rFonts w:cs="Calibri" w:eastAsia="Times New Roman"/>
          <w:b/>
          <w:sz w:val="24"/>
          <w:szCs w:val="24"/>
        </w:rPr>
        <w:t xml:space="preserve"> 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  <w:t>Verejný obstarávateľ v zmysle §42, ods. 3 zákona č. 343/2015 Z. z. o verejnom obstarávaní a o zmene a doplnení niektorých zákonov umožňuje použitie ekvivalentov. Ponúkaný ekvivalent musí mať rovnaké alebo lepšie technické a úžitkové parametre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  <w:t>Ak uchádzač vo svojej ponuke použije ekvivalenty, upozorní verejného obstarávateľa vo svojej ponuke, že použil ekvivalenty a predloží zoznam položiek, v ktorých použije ekvivalent s uvedením obchodných názvov a typov, ktoré použije ako ekvivalenty.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 xml:space="preserve">Predpokladaná hodnota zákazky: </w:t>
      </w:r>
      <w:r>
        <w:rPr>
          <w:rFonts w:cs="Calibri" w:eastAsia="Times New Roman"/>
          <w:b/>
          <w:bCs/>
          <w:sz w:val="24"/>
          <w:szCs w:val="24"/>
          <w:shd w:fill="FFFF00" w:val="clear"/>
          <w:lang w:eastAsia="sk-SK"/>
        </w:rPr>
        <w:t>50 200,00 € bez DPH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</w:rPr>
        <w:t>Cena je stanovená na základe dodacích listov a faktúr za predchádzajúce obdobie kalendárneho roka so zohľadnením navýšenia cien energií a potravín.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4. Možnosť rozdelenia cenovej ponuky: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Predmet zákazky nie je možné rozdeliť. Uchádzač musí predložiť ponuku na celý predmet zákazky.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5. Variantné riešenie: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Neumožňuje sa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6. Lehota na dodanie zákazky: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 xml:space="preserve">Čas plnenia dodávky predmetu zákazky bude v dobe od </w:t>
      </w:r>
      <w:r>
        <w:rPr>
          <w:rFonts w:cs="Calibri"/>
          <w:b/>
          <w:sz w:val="24"/>
          <w:szCs w:val="24"/>
        </w:rPr>
        <w:t>0</w:t>
      </w:r>
      <w:r>
        <w:rPr>
          <w:rFonts w:cs="Calibri"/>
          <w:b/>
          <w:bCs/>
          <w:sz w:val="24"/>
          <w:szCs w:val="24"/>
        </w:rPr>
        <w:t xml:space="preserve">1.08.2019 </w:t>
      </w:r>
      <w:r>
        <w:rPr>
          <w:rFonts w:cs="Calibri"/>
          <w:sz w:val="24"/>
          <w:szCs w:val="24"/>
        </w:rPr>
        <w:t xml:space="preserve">do </w:t>
      </w:r>
      <w:r>
        <w:rPr>
          <w:rFonts w:cs="Calibri"/>
          <w:b/>
          <w:bCs/>
          <w:sz w:val="24"/>
          <w:szCs w:val="24"/>
        </w:rPr>
        <w:t xml:space="preserve">31.07.2020                       </w:t>
      </w:r>
      <w:r>
        <w:rPr>
          <w:rFonts w:cs="Calibri"/>
          <w:bCs/>
          <w:sz w:val="24"/>
          <w:szCs w:val="24"/>
        </w:rPr>
        <w:t>(</w:t>
      </w:r>
      <w:r>
        <w:rPr>
          <w:rFonts w:cs="Calibri" w:eastAsia="Times New Roman"/>
          <w:sz w:val="24"/>
          <w:szCs w:val="24"/>
        </w:rPr>
        <w:t>12 mesiacov)</w:t>
      </w:r>
      <w:r>
        <w:rPr>
          <w:rFonts w:cs="Calibri"/>
          <w:sz w:val="24"/>
          <w:szCs w:val="24"/>
        </w:rPr>
        <w:t>. Dodanie predmetu zákazky sa bude uskutočňovať na základe jednotlivých objednávok.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7. Uplynutie lehoty na predkladanie cenových ponúk:</w:t>
      </w:r>
    </w:p>
    <w:p>
      <w:pPr>
        <w:pStyle w:val="style0"/>
        <w:numPr>
          <w:ilvl w:val="0"/>
          <w:numId w:val="3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dňa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03.07.2019 do 11.00 hod.</w:t>
      </w:r>
    </w:p>
    <w:p>
      <w:pPr>
        <w:pStyle w:val="style0"/>
        <w:numPr>
          <w:ilvl w:val="0"/>
          <w:numId w:val="3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doručenie poštou na adrese uvedenej v bode 1. tejto výzvy (</w:t>
      </w:r>
      <w:r>
        <w:rPr>
          <w:rFonts w:cs="Calibri"/>
          <w:bCs/>
          <w:sz w:val="24"/>
          <w:szCs w:val="24"/>
        </w:rPr>
        <w:t>Zariadenie pre seniorov, Síd. 1. mája č. 73</w:t>
      </w:r>
      <w:r>
        <w:rPr>
          <w:rFonts w:cs="Calibri" w:eastAsia="Times New Roman"/>
          <w:sz w:val="24"/>
          <w:szCs w:val="24"/>
          <w:lang w:eastAsia="sk-SK"/>
        </w:rPr>
        <w:t>, 093 01  Vranov nad Topľou) a osobne na tej istej adrese (Zariadenie pre seniorov, Sídl. 1. mája č. 73, 093 01  Vranov nad Topľou, riaditeľňa zariadenia pre seniorov.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V prípade zaslania ponuky poštou alebo osobného doručenia uchádzač vloží ponuku do samostatného obalu. Obal musí byť uzatvorený.</w:t>
      </w:r>
    </w:p>
    <w:p>
      <w:pPr>
        <w:pStyle w:val="style0"/>
        <w:spacing w:after="0" w:before="0" w:line="100" w:lineRule="atLeast"/>
        <w:ind w:firstLine="708" w:left="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Vonkajší obal ponuky musí obsahovať nasledovné údaje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– </w:t>
      </w:r>
      <w:r>
        <w:rPr>
          <w:rFonts w:cs="Calibri" w:eastAsia="Times New Roman"/>
          <w:sz w:val="24"/>
          <w:szCs w:val="24"/>
          <w:lang w:eastAsia="sk-SK"/>
        </w:rPr>
        <w:t>adresu verejného obstarávateľa uvedenú v bode 1.,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– </w:t>
      </w:r>
      <w:r>
        <w:rPr>
          <w:rFonts w:cs="Calibri" w:eastAsia="Times New Roman"/>
          <w:sz w:val="24"/>
          <w:szCs w:val="24"/>
          <w:lang w:eastAsia="sk-SK"/>
        </w:rPr>
        <w:t>adresu uchádzača, [Uvedie sa názov alebo obchodné meno a adresa sídla alebo miesta podnikania uchádzača.]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– </w:t>
      </w:r>
      <w:r>
        <w:rPr>
          <w:rFonts w:cs="Calibri" w:eastAsia="Times New Roman"/>
          <w:sz w:val="24"/>
          <w:szCs w:val="24"/>
          <w:lang w:eastAsia="sk-SK"/>
        </w:rPr>
        <w:t xml:space="preserve">označenie heslom: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„Nákup mäsa, mäsových a mliečnych  výrobkov</w:t>
      </w:r>
      <w:r>
        <w:rPr>
          <w:rFonts w:cs="Calibri" w:eastAsia="Times New Roman"/>
          <w:b/>
          <w:bCs/>
          <w:color w:val="FF0000"/>
          <w:sz w:val="24"/>
          <w:szCs w:val="24"/>
          <w:lang w:eastAsia="sk-SK"/>
        </w:rPr>
        <w:t> </w:t>
      </w:r>
      <w:r>
        <w:rPr>
          <w:rFonts w:cs="Calibri" w:eastAsia="Times New Roman"/>
          <w:b/>
          <w:bCs/>
          <w:sz w:val="24"/>
          <w:szCs w:val="24"/>
          <w:lang w:eastAsia="sk-SK"/>
        </w:rPr>
        <w:t>– NEOTVÁRAŤ“</w:t>
      </w:r>
    </w:p>
    <w:p>
      <w:pPr>
        <w:pStyle w:val="style0"/>
        <w:numPr>
          <w:ilvl w:val="0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ponuky sa predkladajú v slovenskom jazyku a €.</w:t>
      </w:r>
    </w:p>
    <w:p>
      <w:pPr>
        <w:pStyle w:val="style0"/>
        <w:numPr>
          <w:ilvl w:val="0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Otváranie ponúk: dňa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03.07.2019, o 13:00 hod., miestnosť:</w:t>
      </w:r>
      <w:r>
        <w:rPr>
          <w:rFonts w:cs="Calibri" w:eastAsia="Times New Roman"/>
          <w:sz w:val="24"/>
          <w:szCs w:val="24"/>
          <w:lang w:eastAsia="sk-SK"/>
        </w:rPr>
        <w:t xml:space="preserve"> riaditeľňa Zariadenia pre seniorov, 093 01  Vranov nad Topľou. Otváranie ponúk je neverejné.</w:t>
      </w:r>
    </w:p>
    <w:p>
      <w:pPr>
        <w:pStyle w:val="style0"/>
        <w:numPr>
          <w:ilvl w:val="0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sz w:val="24"/>
          <w:szCs w:val="24"/>
          <w:u w:val="single"/>
          <w:lang w:eastAsia="sk-SK"/>
        </w:rPr>
        <w:t xml:space="preserve">Verejný obstarávateľ požaduje, aby ponuka obsahovala nasledovné doklady a údaje: 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Identifikačné údaje uchádzača:</w:t>
      </w:r>
      <w:r>
        <w:rPr>
          <w:rFonts w:cs="Calibri" w:eastAsia="Times New Roman"/>
          <w:sz w:val="24"/>
          <w:szCs w:val="24"/>
          <w:lang w:eastAsia="sk-SK"/>
        </w:rPr>
        <w:t xml:space="preserve"> (obchodné meno a sídlo uchádzača, IČO, DIČ, IČ pre daň, telefón, fax, e-mail, webová stránka, bankové spojenie, č. účtu a pod.) s uvedením predmetu zákazky na ktorú sa ponuka predkladá – odporúčanie predloženia.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Návrh uchádzača na plnenie kritéria na vyhodnotenie ponúk</w:t>
      </w:r>
      <w:r>
        <w:rPr>
          <w:rFonts w:cs="Calibri" w:eastAsia="Times New Roman"/>
          <w:sz w:val="24"/>
          <w:szCs w:val="24"/>
          <w:lang w:eastAsia="sk-SK"/>
        </w:rPr>
        <w:t xml:space="preserve"> (stanovenie ceny podľa bodu 11 tejto výzvy)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u w:val="single"/>
          <w:lang w:eastAsia="sk-SK"/>
        </w:rPr>
        <w:t>Doklady podľa bodu 8  Podmienky účasti tejto výzvy.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Návrh zmluvy vrátane príloh: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</w:p>
    <w:p>
      <w:pPr>
        <w:pStyle w:val="style0"/>
        <w:numPr>
          <w:ilvl w:val="2"/>
          <w:numId w:val="4"/>
        </w:numPr>
        <w:tabs>
          <w:tab w:leader="none" w:pos="1560" w:val="left"/>
        </w:tabs>
        <w:spacing w:after="0" w:before="0" w:line="100" w:lineRule="atLeast"/>
        <w:ind w:hanging="742" w:left="0" w:right="0"/>
        <w:contextualSpacing w:val="false"/>
      </w:pPr>
      <w:r>
        <w:rPr>
          <w:rFonts w:cs="Calibri" w:eastAsia="Times New Roman"/>
          <w:lang w:eastAsia="sk-SK"/>
        </w:rPr>
        <w:t xml:space="preserve">č. 1 – ocenená druhová skladba – špecifikácia potravín – </w:t>
      </w:r>
      <w:r>
        <w:rPr>
          <w:rFonts w:cs="Calibri" w:eastAsia="Times New Roman"/>
          <w:b/>
          <w:bCs/>
          <w:lang w:eastAsia="sk-SK"/>
        </w:rPr>
        <w:t>predkladá sa do ponuky</w:t>
      </w:r>
    </w:p>
    <w:p>
      <w:pPr>
        <w:pStyle w:val="style0"/>
        <w:numPr>
          <w:ilvl w:val="2"/>
          <w:numId w:val="4"/>
        </w:numPr>
        <w:tabs>
          <w:tab w:leader="none" w:pos="1560" w:val="left"/>
        </w:tabs>
        <w:spacing w:after="0" w:before="0" w:line="100" w:lineRule="atLeast"/>
        <w:ind w:hanging="742" w:left="0" w:right="0"/>
        <w:contextualSpacing w:val="false"/>
      </w:pPr>
      <w:r>
        <w:rPr>
          <w:rFonts w:cs="Calibri" w:eastAsia="Times New Roman"/>
          <w:lang w:eastAsia="sk-SK"/>
        </w:rPr>
        <w:t xml:space="preserve">č. 2 – Zoznam ekvivalentných položiek (ak sa uplatňuje – </w:t>
      </w:r>
      <w:r>
        <w:rPr>
          <w:rFonts w:cs="Calibri" w:eastAsia="Times New Roman"/>
          <w:b/>
          <w:bCs/>
          <w:lang w:eastAsia="sk-SK"/>
        </w:rPr>
        <w:t>predkladá sa do ponuky</w:t>
      </w:r>
      <w:r>
        <w:rPr>
          <w:rFonts w:cs="Calibri" w:eastAsia="Times New Roman"/>
          <w:lang w:eastAsia="sk-SK"/>
        </w:rPr>
        <w:t>)</w:t>
      </w:r>
    </w:p>
    <w:p>
      <w:pPr>
        <w:pStyle w:val="style0"/>
        <w:numPr>
          <w:ilvl w:val="2"/>
          <w:numId w:val="4"/>
        </w:numPr>
        <w:tabs>
          <w:tab w:leader="none" w:pos="1560" w:val="left"/>
        </w:tabs>
        <w:spacing w:after="0" w:before="0" w:line="100" w:lineRule="atLeast"/>
        <w:ind w:hanging="742" w:left="0" w:right="0"/>
        <w:contextualSpacing w:val="false"/>
      </w:pPr>
      <w:r>
        <w:rPr>
          <w:rFonts w:cs="Calibri" w:eastAsia="Times New Roman"/>
          <w:lang w:eastAsia="sk-SK"/>
        </w:rPr>
        <w:t xml:space="preserve">č. 3 - Zoznam subdodávateľov – </w:t>
      </w:r>
      <w:r>
        <w:rPr>
          <w:rFonts w:cs="Calibri" w:eastAsia="Times New Roman"/>
          <w:b/>
          <w:bCs/>
          <w:lang w:eastAsia="sk-SK"/>
        </w:rPr>
        <w:t>predkladá sa do ponuky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b/>
          <w:sz w:val="24"/>
          <w:szCs w:val="24"/>
          <w:u w:val="single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u w:val="single"/>
          <w:lang w:eastAsia="sk-SK"/>
        </w:rPr>
        <w:t>8. Podmienky účasti: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musí spĺňať podmienky účasti podľa § 32 ods. 1 písm. e) a f) zákona a nesmie u neho existovať dôvod na vylúčenie podľa § 40 ods. 6 písm. f) zákona. Ustanovenie § 11 tým nie je dotknuté.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Uchádzač preukazuje dané podmienky týmito dokladmi:</w:t>
      </w:r>
    </w:p>
    <w:p>
      <w:pPr>
        <w:pStyle w:val="style0"/>
        <w:numPr>
          <w:ilvl w:val="0"/>
          <w:numId w:val="5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  <w:t>Oprávnenie dodávať tovar.</w:t>
      </w:r>
      <w:r>
        <w:rPr>
          <w:rFonts w:cs="Calibri" w:eastAsia="Times New Roman"/>
          <w:sz w:val="24"/>
          <w:szCs w:val="24"/>
          <w:lang w:eastAsia="sk-SK"/>
        </w:rPr>
        <w:t xml:space="preserve"> Uchádzač predloží fotokópiu aktuálneho dokladu o oprávnení dodávať požadovaný tovar.</w:t>
      </w:r>
    </w:p>
    <w:p>
      <w:pPr>
        <w:pStyle w:val="style0"/>
        <w:numPr>
          <w:ilvl w:val="0"/>
          <w:numId w:val="5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Uchádzač je povinný predložiť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čestné vyhlásenie,</w:t>
      </w:r>
      <w:r>
        <w:rPr>
          <w:rFonts w:cs="Calibri" w:eastAsia="Times New Roman"/>
          <w:sz w:val="24"/>
          <w:szCs w:val="24"/>
          <w:lang w:eastAsia="sk-SK"/>
        </w:rPr>
        <w:t xml:space="preserve"> že podľa § 32 ods. 1 písm. f) zákona o verejnom obstarávaní, nemá uložený zákaz účasti vo verejnom obstarávaní potvrdený konečným rozhodnutím v Slovenskej republike alebo v štáte sídla, miesta podnikania alebo obvyklého pobytu.</w:t>
      </w:r>
    </w:p>
    <w:p>
      <w:pPr>
        <w:pStyle w:val="style0"/>
        <w:numPr>
          <w:ilvl w:val="0"/>
          <w:numId w:val="5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Uchádzač je povinný predložiť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čestné vyhlásenie,</w:t>
      </w:r>
      <w:r>
        <w:rPr>
          <w:rFonts w:cs="Calibri" w:eastAsia="Times New Roman"/>
          <w:sz w:val="24"/>
          <w:szCs w:val="24"/>
          <w:lang w:eastAsia="sk-SK"/>
        </w:rPr>
        <w:t xml:space="preserve"> že nie je v konflikte záujmov podľa §23 zákona o verejnom obstarávaní, ktorý nemožno odstrániť inými účinnými opatreniami.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ind w:hanging="283" w:left="1276" w:right="0"/>
        <w:contextualSpacing w:val="false"/>
      </w:pPr>
      <w:r>
        <w:rPr>
          <w:rFonts w:cs="Calibri" w:eastAsia="Times New Roman"/>
          <w:i/>
          <w:iCs/>
          <w:sz w:val="18"/>
          <w:szCs w:val="18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9. Podmienky financovania: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Financovanie bezhotovostným platobným stykom. Predmet zákazky bude financovaný z vlastných zdrojov verejného obstarávateľa. Faktúru – daňový doklad je možné vystaviť 2 x mesačne. Platby sa budú realizovať bezhotovostným stykom na základe vystavených faktúr. Faktúra bude splatná do 30 kalendárnych dní odo dňa jej doručenia.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10. Kritéria na hodnotenie ponúk: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Najnižšia celková cena s DPH.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i/>
          <w:iCs/>
          <w:sz w:val="24"/>
          <w:szCs w:val="24"/>
          <w:lang w:eastAsia="sk-SK"/>
        </w:rPr>
        <w:t>Spôsob vyhodnocovania ponúk: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  <w:r>
        <w:rPr>
          <w:rFonts w:cs="Calibri" w:eastAsia="Times New Roman"/>
          <w:i/>
          <w:iCs/>
          <w:sz w:val="24"/>
          <w:szCs w:val="24"/>
          <w:lang w:eastAsia="sk-SK"/>
        </w:rPr>
        <w:t>Po vyhodnotení ponúk na základe kritérií na hodnotenie ponúk sa zostaví vzostupné poradie uchádzačov a vyhodnotí sa u uchádzača, ktorý sa umiestnil na prvom mieste v poradí splnenie požiadaviek na predmet zákazky a podmienok účasti.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11. Spôsob stanovenia ceny: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zmysle zákona o cenách NR SR č. 18/1996 Z. z. v znení neskorších predpisov (ďalej len „zákon o cenách“) sa považujú ceny uvedené v ponuke uchádzača za ceny maximálne, okrem prípadov, kedy môže dôjsť k jej úprave podľa bodu L tejto kapitoly Výzvy.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Navrhovaná cena musí byť stanovená podľa § 3 zákona o cenách.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Ceny budú vyjadrené v € a budú platné počas trvania záväzku.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Ak je uchádzač platcom dane z pridanej hodnoty (ďalej len „DPH“), navrhovanú celkovú cenu uvedie v zložení: 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D.1. navrhovaná celková cena bez DPH,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D.2. sadzba DPH a výška DPH,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D.3. navrhovaná celková cena celkom vrátane DPH.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Ak uchádzač nie je platiteľom DPH v Slovenskej republike, uvedie navrhovanú cenu celkom (ktorej súčasťou je aj DPH). Súčasne na túto skutočnosť v ponuke upozorní.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bude ponúkať komplexné služby na báze ”komplexnej zodpovednosti” tak, aby celková cena ponuky pokryla všetky jeho záväzky v zmysle súťažných podkladov z hľadiska dodania tovarov.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Pri určovaní cien jednotlivých položiek je potrebné venovať pozornosť všetkým požadovaným údajom, ako aj pokynom a záväzkom vyplývajúcim z pokynov pre uchádzačov na zhotovenie ponuky, z obchodných podmienok dodania predmetu obstarávania, ako aj z iných dokladov tvoriacich súčasť záväzku.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cenu špecifikuje na základe tabuľky druhovej skladby – špecifikácia potravín, ktorý je uvedený v prílohe č. 1 tejto Výzvy a to tak, že ocení jednotlivé položky. Uchádzač musí v cene tovarov uviesť pre každú požadovanú položku jednotku, počet jednotiek a jednotkovú cenu. Celková cena je daná súčinom počtu jednotiek a jednotkovej ceny a množstva uvedeného v druhovej skladbe – špecifikácia potravín, ktorý je uvedený v prílohe č. 1 tejto Výzvy. Spôsob určenia ceny musí byť zrozumiteľný, jasný a bez matematických chýb.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musí vyplniť predloženú tabuľku druhovej skladby – špecifikácia potravín, ktorý je uvedený v prílohe č. 1 tejto Výzvy v plnom rozsahu. Neuvedenie niektorej z položiek vrátane ceny alebo uvedenie iného rozsahu množstva položky bude považované za nesplnenie požiadavky verejného obstarávateľa a takáto ponuka bude zo zadávania zákazky vylúčená.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Návrh ceny musí byť v členení: 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Cena bez 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Základ 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Sadzba 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Celková cena vrátane DPH.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Cenu stanoví uchádzač na základe ocenenej tabuľky druhovej skladby – špecifikácia potravín, ktorý bude súčasťou ponuky uchádzača.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Do ceny predmetu zákazky počas platnosti záväzku bude prípustné premietnuť: 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zmenu sadzby DPH a iných administratívnych opatrení štátu,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nevykonania niektorých prác, resp. činnosti uvedených v ocenenom výkaze položiek zo strany poskytovateľa, ak sa tieto ukážu v priebehu plnenia záväzku ako nepotrebné,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prípade, že uchádzač zistí nedostatky výkazu výmer v etape spracovania ponuky, je povinný na to verejného obstarávateľa písomne upozorniť a požiadať o vysvetlenie.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Kalkulácia nákladov rozpočtu dodania tovarov bude ďalej obsahovať všetky náklady spojené s dodaním tovaru ako napr. aj náklady na dovoz, odvoz vrátane poplatku, telefón, spracovanie dokumentácie ak to bude potrebné, náklady na spotrebu elektrickej energie, PHL a vody, kompletačná činnosť, skúšky a merania kontroly kvality a pod.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Rozpočet – cenu rozpísanú podľa tabuľky druhovej skladby jednotlivých položiek (špecifikácie tovaru) predloží uchádzač písomnou formou.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Dodávané tovary musia mať certifikáty v zmysle platných predpisov.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12. Dôvody na zrušenie súťaže: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Verejný obstarávateľ môže zrušiť použitý postup zadávania zákazky z nasledovných dôvodov:</w:t>
      </w:r>
    </w:p>
    <w:p>
      <w:pPr>
        <w:pStyle w:val="style0"/>
        <w:numPr>
          <w:ilvl w:val="0"/>
          <w:numId w:val="7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nebude predložená ani jedna ponuka,</w:t>
      </w:r>
    </w:p>
    <w:p>
      <w:pPr>
        <w:pStyle w:val="style0"/>
        <w:numPr>
          <w:ilvl w:val="0"/>
          <w:numId w:val="7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ani jedna z predložených ponúk nebude zodpovedať určeným požiadavkám,</w:t>
      </w:r>
    </w:p>
    <w:p>
      <w:pPr>
        <w:pStyle w:val="style0"/>
        <w:numPr>
          <w:ilvl w:val="0"/>
          <w:numId w:val="7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ak sa zmenili okolnosti, za ktorých sa vyhlásilo toto zadávanie zákazky.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13. Ďalšie informácie verejného obstarávateľa: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 xml:space="preserve">Všetkým uchádzačom verejný obstarávateľ oznámi úspešnosť alebo neúspešnosť ich ponuky. Predpokladaná lehota na uzavretie zmluvy: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do 31.08.2019.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Výsledkom tohto postupu zadávania zákazky bude rámcová zmluva na dodanie uvedeného predmetu zákazky (ďalej len RZ).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Platnosť zmluvy je stanovená podpisom oboch zmluvných strán. Zmluva nadobúda účinnosť deň nasledujúci po dni jej zverejnenia na webovom sídle verejného obstarávateľa. Túto skutočnosť oznámi verejný obstarávateľ e-mailom úspešnému uchádzačovi na adresu uvedenú v zmluve o dielo v článku I.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Verejný obstarávateľ požaduje, aby úspešný uchádzač ku podpisu zmluvy predložil aktuálny doklad dodávať tovar v origináli alebo overenej kópií.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Verejný obstarávateľ nesmie uzavrieť zmluvu s uchádzačom alebo uchádzačmi, ak majú povinnosť zapisovať sa do registra partnerov verejného sektora, ktorí nemajú v registri konečných užívateľov výhod zapísaných konečných užívateľov výhod alebo ktorých subdodávatelia, ak majú povinnosť zapisovať sa do registra partnerov verejného sektora, ktorí sú verejnému obstarávateľovi známi v čase uzavretia zmluvy, nemajú v registri konečných užívateľov výhod zapísaných konečných užívateľov výhod.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Povinnosť podľa bodu E. sa vzťahuje na subdodávateľa po celú dobu trvania zmluvy, ktorá je výsledkom postupu verejného obstarávania. Subdodávateľ ku podpisu zmluvy a nový subdodávateľ ku zmene subdodávateľa predloží aktuálny doklad o oprávnení dodávať tovar, uskutočňovať stavebné práce alebo poskytovať službu; oprávnenie dodávať tovar, uskutočňovať stavebné práce alebo poskytovať službu sa preukazuje vo vzťahu k tej časti predmetu zákazky, ktorý má subdodávateľ plniť, v origináli alebo overenej kópií.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prípade zmeny subdodávateľa, ak tento subdodávateľ má povinnosť zapisovať sa do registra partnerov verejného sektora, musí byť v tomto registri partnerov verejného sektora zapísaný ku dňu zmeny subdodávateľa.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prípade, ak nastane prípad že úspešný uchádzač tieto povinnosti podľa bodu F., G. alebo H., nemá, dotknuté ustanovenia nebudú súčasťou zmluvy.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je povinný rešpektovať požiadavku verejného obstarávateľa realizovať predmet zákazky tak, aby neprišlo k obmedzeniu užívania priestorov verejného obstarávateľa, resp. na skrátenie tohto obmedzenia na nevyhnutný rozsah.</w:t>
      </w:r>
    </w:p>
    <w:p>
      <w:pPr>
        <w:pStyle w:val="style0"/>
        <w:spacing w:after="0" w:before="0" w:line="100" w:lineRule="atLeast"/>
        <w:ind w:hanging="0" w:left="720" w:right="0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 xml:space="preserve">Záujemcom sa odporúča vykonať obhliadku miesta realizácie predmetu zákazky a jeho okolia tak, aby si sám overil a získal všetky informácie, ktoré bude potrebovať na prípravu, spracovanie ponuky a začatie prác súvisiacich s realizáciou predmetu zákazky. Výdavky spojené s touto prehliadkou idú na ťarchu záujemcov. V prípade požiadavky záujemcu o obhliadku miesta realizácie požadovaného predmetu zákazky záujemca môže dohodnúť termín obhliadky u zodpovednej osoby na adrese: </w:t>
      </w:r>
      <w:r>
        <w:rPr>
          <w:rFonts w:ascii="Calibri Light" w:cs="Times New Roman" w:eastAsia="Times New Roman" w:hAnsi="Calibri Light"/>
          <w:b/>
          <w:bCs/>
          <w:lang w:eastAsia="sk-SK"/>
        </w:rPr>
        <w:t>Zariadenie pre seniorov, Sídl. 1. mája č. 73, 093 01  Vranov nad Topľou, V. Ďorďovič – vedúci prevádzky ZpS, mobil:  +421 908 133 312.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Cs/>
          <w:sz w:val="24"/>
          <w:szCs w:val="24"/>
          <w:lang w:eastAsia="sk-SK"/>
        </w:rPr>
        <w:t>Vranov nad Topľou, dňa 21.06.2019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bookmarkStart w:id="0" w:name="_GoBack"/>
      <w:bookmarkStart w:id="1" w:name="_GoBack"/>
      <w:bookmarkEnd w:id="1"/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ind w:firstLine="708" w:left="4248" w:right="0"/>
        <w:contextualSpacing w:val="false"/>
      </w:pPr>
      <w:r>
        <w:rPr>
          <w:rFonts w:ascii="Calibri Light" w:cs="Times New Roman" w:eastAsia="Times New Roman" w:hAnsi="Calibri Light"/>
          <w:lang w:eastAsia="sk-SK"/>
        </w:rPr>
        <w:t xml:space="preserve">               </w:t>
      </w:r>
      <w:r>
        <w:rPr>
          <w:rFonts w:cs="Calibri" w:eastAsia="Times New Roman"/>
          <w:sz w:val="24"/>
          <w:szCs w:val="24"/>
          <w:lang w:eastAsia="sk-SK"/>
        </w:rPr>
        <w:t xml:space="preserve">Mgr. Ján Kuba </w:t>
      </w:r>
    </w:p>
    <w:p>
      <w:pPr>
        <w:pStyle w:val="style0"/>
        <w:spacing w:after="0" w:before="0" w:line="100" w:lineRule="atLeast"/>
        <w:ind w:firstLine="708" w:left="4248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riaditeľ zariadenia pre seniorov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  <w:t>Prílohy: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0"/>
          <w:szCs w:val="20"/>
          <w:lang w:eastAsia="sk-SK"/>
        </w:rPr>
        <w:t>1 x  tabuľka potravín druhovej sklady – špecifikácie tovaru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0"/>
          <w:szCs w:val="20"/>
          <w:lang w:eastAsia="sk-SK"/>
        </w:rPr>
        <w:t>1 X návrh na plnenie kritérii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0"/>
          <w:szCs w:val="20"/>
          <w:lang w:eastAsia="sk-SK"/>
        </w:rPr>
        <w:t>1x návrh zmluvy</w:t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3">
    <w:lvl w:ilvl="0">
      <w:start w:val="1"/>
      <w:numFmt w:val="low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Letter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low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low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4">
    <w:lvl w:ilvl="0">
      <w:start w:val="3"/>
      <w:numFmt w:val="low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low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low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6"/>
      <w:numFmt w:val="decimal"/>
      <w:lvlText w:val="%2"/>
      <w:lvlJc w:val="left"/>
      <w:pPr>
        <w:ind w:hanging="360" w:left="1440"/>
      </w:pPr>
      <w:rPr/>
    </w:lvl>
    <w:lvl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6">
    <w:lvl w:ilvl="0">
      <w:start w:val="1"/>
      <w:numFmt w:val="upp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upperLetter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upp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upp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upp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upp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upp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upp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8">
    <w:lvl w:ilvl="0">
      <w:start w:val="1"/>
      <w:numFmt w:val="upp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upp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upperLetter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upp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upp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upp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upp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upp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upp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9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hanging="360" w:left="2160"/>
      </w:pPr>
      <w:rPr/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10">
    <w:lvl w:ilvl="0">
      <w:start w:val="1"/>
      <w:numFmt w:val="lowerLetter"/>
      <w:lvlText w:val="%1)"/>
      <w:lvlJc w:val="left"/>
      <w:pPr>
        <w:ind w:hanging="360" w:left="1080"/>
      </w:pPr>
    </w:lvl>
    <w:lvl w:ilvl="1">
      <w:start w:val="1"/>
      <w:numFmt w:val="lowerLetter"/>
      <w:lvlText w:val="%2."/>
      <w:lvlJc w:val="left"/>
      <w:pPr>
        <w:ind w:hanging="360" w:left="1800"/>
      </w:pPr>
    </w:lvl>
    <w:lvl w:ilvl="2">
      <w:start w:val="1"/>
      <w:numFmt w:val="lowerRoman"/>
      <w:lvlText w:val="%3."/>
      <w:lvlJc w:val="right"/>
      <w:pPr>
        <w:ind w:hanging="180" w:left="2520"/>
      </w:pPr>
    </w:lvl>
    <w:lvl w:ilvl="3">
      <w:start w:val="1"/>
      <w:numFmt w:val="decimal"/>
      <w:lvlText w:val="%4."/>
      <w:lvlJc w:val="left"/>
      <w:pPr>
        <w:ind w:hanging="360" w:left="3240"/>
      </w:pPr>
    </w:lvl>
    <w:lvl w:ilvl="4">
      <w:start w:val="1"/>
      <w:numFmt w:val="lowerLetter"/>
      <w:lvlText w:val="%5."/>
      <w:lvlJc w:val="left"/>
      <w:pPr>
        <w:ind w:hanging="360" w:left="3960"/>
      </w:pPr>
    </w:lvl>
    <w:lvl w:ilvl="5">
      <w:start w:val="1"/>
      <w:numFmt w:val="lowerRoman"/>
      <w:lvlText w:val="%6."/>
      <w:lvlJc w:val="right"/>
      <w:pPr>
        <w:ind w:hanging="180" w:left="4680"/>
      </w:pPr>
    </w:lvl>
    <w:lvl w:ilvl="6">
      <w:start w:val="1"/>
      <w:numFmt w:val="decimal"/>
      <w:lvlText w:val="%7."/>
      <w:lvlJc w:val="left"/>
      <w:pPr>
        <w:ind w:hanging="360" w:left="5400"/>
      </w:pPr>
    </w:lvl>
    <w:lvl w:ilvl="7">
      <w:start w:val="1"/>
      <w:numFmt w:val="lowerLetter"/>
      <w:lvlText w:val="%8."/>
      <w:lvlJc w:val="left"/>
      <w:pPr>
        <w:ind w:hanging="360" w:left="6120"/>
      </w:pPr>
    </w:lvl>
    <w:lvl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1">
    <w:lvl w:ilvl="0">
      <w:start w:val="1"/>
      <w:numFmt w:val="lowerLetter"/>
      <w:lvlText w:val="%1)"/>
      <w:lvlJc w:val="left"/>
      <w:pPr>
        <w:ind w:hanging="360" w:left="1080"/>
      </w:pPr>
    </w:lvl>
    <w:lvl w:ilvl="1">
      <w:start w:val="1"/>
      <w:numFmt w:val="lowerLetter"/>
      <w:lvlText w:val="%2."/>
      <w:lvlJc w:val="left"/>
      <w:pPr>
        <w:ind w:hanging="360" w:left="1800"/>
      </w:pPr>
    </w:lvl>
    <w:lvl w:ilvl="2">
      <w:start w:val="1"/>
      <w:numFmt w:val="lowerRoman"/>
      <w:lvlText w:val="%3."/>
      <w:lvlJc w:val="right"/>
      <w:pPr>
        <w:ind w:hanging="180" w:left="2520"/>
      </w:pPr>
    </w:lvl>
    <w:lvl w:ilvl="3">
      <w:start w:val="1"/>
      <w:numFmt w:val="decimal"/>
      <w:lvlText w:val="%4."/>
      <w:lvlJc w:val="left"/>
      <w:pPr>
        <w:ind w:hanging="360" w:left="3240"/>
      </w:pPr>
    </w:lvl>
    <w:lvl w:ilvl="4">
      <w:start w:val="1"/>
      <w:numFmt w:val="lowerLetter"/>
      <w:lvlText w:val="%5."/>
      <w:lvlJc w:val="left"/>
      <w:pPr>
        <w:ind w:hanging="360" w:left="3960"/>
      </w:pPr>
    </w:lvl>
    <w:lvl w:ilvl="5">
      <w:start w:val="1"/>
      <w:numFmt w:val="lowerRoman"/>
      <w:lvlText w:val="%6."/>
      <w:lvlJc w:val="right"/>
      <w:pPr>
        <w:ind w:hanging="180" w:left="4680"/>
      </w:pPr>
    </w:lvl>
    <w:lvl w:ilvl="6">
      <w:start w:val="1"/>
      <w:numFmt w:val="decimal"/>
      <w:lvlText w:val="%7."/>
      <w:lvlJc w:val="left"/>
      <w:pPr>
        <w:ind w:hanging="360" w:left="5400"/>
      </w:pPr>
    </w:lvl>
    <w:lvl w:ilvl="7">
      <w:start w:val="1"/>
      <w:numFmt w:val="lowerLetter"/>
      <w:lvlText w:val="%8."/>
      <w:lvlJc w:val="left"/>
      <w:pPr>
        <w:ind w:hanging="360" w:left="6120"/>
      </w:pPr>
    </w:lvl>
    <w:lvl w:ilvl="8">
      <w:start w:val="1"/>
      <w:numFmt w:val="lowerRoman"/>
      <w:lvlText w:val="%9."/>
      <w:lvlJc w:val="right"/>
      <w:pPr>
        <w:ind w:hanging="180" w:left="684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dzie"/>
    <w:next w:val="style0"/>
    <w:pPr>
      <w:widowControl/>
      <w:tabs/>
      <w:suppressAutoHyphens w:val="true"/>
      <w:spacing w:after="160" w:before="0" w:line="25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sk-SK"/>
    </w:rPr>
  </w:style>
  <w:style w:styleId="style2" w:type="paragraph">
    <w:name w:val="Nadpis 2"/>
    <w:basedOn w:val="style0"/>
    <w:next w:val="style26"/>
    <w:pPr>
      <w:numPr>
        <w:ilvl w:val="1"/>
        <w:numId w:val="1"/>
      </w:numPr>
      <w:spacing w:after="28" w:before="28" w:line="100" w:lineRule="atLeast"/>
      <w:contextualSpacing w:val="false"/>
      <w:outlineLvl w:val="1"/>
    </w:pPr>
    <w:rPr>
      <w:rFonts w:ascii="Times New Roman" w:cs="Times New Roman" w:eastAsia="Times New Roman" w:hAnsi="Times New Roman"/>
      <w:b/>
      <w:bCs/>
      <w:sz w:val="36"/>
      <w:szCs w:val="36"/>
      <w:lang w:eastAsia="sk-SK"/>
    </w:rPr>
  </w:style>
  <w:style w:styleId="style3" w:type="paragraph">
    <w:name w:val="Nadpis 3"/>
    <w:basedOn w:val="style0"/>
    <w:next w:val="style26"/>
    <w:pPr>
      <w:numPr>
        <w:ilvl w:val="2"/>
        <w:numId w:val="1"/>
      </w:numPr>
      <w:spacing w:after="28" w:before="28" w:line="100" w:lineRule="atLeast"/>
      <w:contextualSpacing w:val="false"/>
      <w:outlineLvl w:val="2"/>
    </w:pPr>
    <w:rPr>
      <w:rFonts w:ascii="Times New Roman" w:cs="Times New Roman" w:eastAsia="Times New Roman" w:hAnsi="Times New Roman"/>
      <w:b/>
      <w:bCs/>
      <w:sz w:val="27"/>
      <w:szCs w:val="27"/>
      <w:lang w:eastAsia="sk-SK"/>
    </w:rPr>
  </w:style>
  <w:style w:styleId="style4" w:type="paragraph">
    <w:name w:val="Nadpis 4"/>
    <w:basedOn w:val="style0"/>
    <w:next w:val="style26"/>
    <w:pPr>
      <w:numPr>
        <w:ilvl w:val="3"/>
        <w:numId w:val="1"/>
      </w:numPr>
      <w:spacing w:after="28" w:before="28" w:line="100" w:lineRule="atLeast"/>
      <w:contextualSpacing w:val="false"/>
      <w:outlineLvl w:val="3"/>
    </w:pPr>
    <w:rPr>
      <w:rFonts w:ascii="Times New Roman" w:cs="Times New Roman" w:eastAsia="Times New Roman" w:hAnsi="Times New Roman"/>
      <w:b/>
      <w:bCs/>
      <w:sz w:val="24"/>
      <w:szCs w:val="24"/>
      <w:lang w:eastAsia="sk-SK"/>
    </w:rPr>
  </w:style>
  <w:style w:styleId="style15" w:type="character">
    <w:name w:val="Default Paragraph Font"/>
    <w:next w:val="style15"/>
    <w:rPr/>
  </w:style>
  <w:style w:styleId="style16" w:type="character">
    <w:name w:val="Nadpis 2 Char"/>
    <w:basedOn w:val="style15"/>
    <w:next w:val="style16"/>
    <w:rPr>
      <w:rFonts w:ascii="Times New Roman" w:cs="Times New Roman" w:eastAsia="Times New Roman" w:hAnsi="Times New Roman"/>
      <w:b/>
      <w:bCs/>
      <w:sz w:val="36"/>
      <w:szCs w:val="36"/>
      <w:lang w:eastAsia="sk-SK"/>
    </w:rPr>
  </w:style>
  <w:style w:styleId="style17" w:type="character">
    <w:name w:val="Nadpis 3 Char"/>
    <w:basedOn w:val="style15"/>
    <w:next w:val="style17"/>
    <w:rPr>
      <w:rFonts w:ascii="Times New Roman" w:cs="Times New Roman" w:eastAsia="Times New Roman" w:hAnsi="Times New Roman"/>
      <w:b/>
      <w:bCs/>
      <w:sz w:val="27"/>
      <w:szCs w:val="27"/>
      <w:lang w:eastAsia="sk-SK"/>
    </w:rPr>
  </w:style>
  <w:style w:styleId="style18" w:type="character">
    <w:name w:val="Nadpis 4 Char"/>
    <w:basedOn w:val="style15"/>
    <w:next w:val="style18"/>
    <w:rPr>
      <w:rFonts w:ascii="Times New Roman" w:cs="Times New Roman" w:eastAsia="Times New Roman" w:hAnsi="Times New Roman"/>
      <w:b/>
      <w:bCs/>
      <w:sz w:val="24"/>
      <w:szCs w:val="24"/>
      <w:lang w:eastAsia="sk-SK"/>
    </w:rPr>
  </w:style>
  <w:style w:styleId="style19" w:type="character">
    <w:name w:val="Silné zvýraznenie"/>
    <w:basedOn w:val="style15"/>
    <w:next w:val="style19"/>
    <w:rPr>
      <w:b/>
      <w:bCs/>
    </w:rPr>
  </w:style>
  <w:style w:styleId="style20" w:type="character">
    <w:name w:val="Internetový odkaz"/>
    <w:basedOn w:val="style15"/>
    <w:next w:val="style20"/>
    <w:rPr>
      <w:color w:val="0000FF"/>
      <w:u w:val="single"/>
      <w:lang w:bidi="sk-SK" w:eastAsia="sk-SK" w:val="sk-SK"/>
    </w:rPr>
  </w:style>
  <w:style w:styleId="style21" w:type="character">
    <w:name w:val="Zdôraznenie"/>
    <w:basedOn w:val="style15"/>
    <w:next w:val="style21"/>
    <w:rPr>
      <w:i/>
      <w:iCs/>
    </w:rPr>
  </w:style>
  <w:style w:styleId="style22" w:type="character">
    <w:name w:val="ListLabel 1"/>
    <w:next w:val="style22"/>
    <w:rPr>
      <w:sz w:val="20"/>
    </w:rPr>
  </w:style>
  <w:style w:styleId="style23" w:type="character">
    <w:name w:val="ListLabel 2"/>
    <w:next w:val="style23"/>
    <w:rPr>
      <w:rFonts w:cs="Times New Roman"/>
    </w:rPr>
  </w:style>
  <w:style w:styleId="style24" w:type="character">
    <w:name w:val="ListLabel 3"/>
    <w:next w:val="style24"/>
    <w:rPr>
      <w:b w:val="false"/>
      <w:sz w:val="22"/>
    </w:rPr>
  </w:style>
  <w:style w:styleId="style25" w:type="paragraph">
    <w:name w:val="Nadpis"/>
    <w:basedOn w:val="style0"/>
    <w:next w:val="style26"/>
    <w:pPr>
      <w:keepNext/>
      <w:spacing w:after="120" w:before="240"/>
      <w:contextualSpacing w:val="false"/>
    </w:pPr>
    <w:rPr>
      <w:rFonts w:ascii="Arial" w:cs="Arial" w:eastAsia="Microsoft YaHei" w:hAnsi="Arial"/>
      <w:sz w:val="28"/>
      <w:szCs w:val="28"/>
    </w:rPr>
  </w:style>
  <w:style w:styleId="style26" w:type="paragraph">
    <w:name w:val="Telo textu"/>
    <w:basedOn w:val="style0"/>
    <w:next w:val="style26"/>
    <w:pPr>
      <w:spacing w:after="120" w:before="0"/>
      <w:contextualSpacing w:val="false"/>
    </w:pPr>
    <w:rPr/>
  </w:style>
  <w:style w:styleId="style27" w:type="paragraph">
    <w:name w:val="Zoznam"/>
    <w:basedOn w:val="style26"/>
    <w:next w:val="style27"/>
    <w:pPr/>
    <w:rPr>
      <w:rFonts w:cs="Arial"/>
    </w:rPr>
  </w:style>
  <w:style w:styleId="style28" w:type="paragraph">
    <w:name w:val="Popis"/>
    <w:basedOn w:val="style0"/>
    <w:next w:val="style28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9" w:type="paragraph">
    <w:name w:val="Index"/>
    <w:basedOn w:val="style0"/>
    <w:next w:val="style29"/>
    <w:pPr>
      <w:suppressLineNumbers/>
    </w:pPr>
    <w:rPr>
      <w:rFonts w:cs="Arial"/>
    </w:rPr>
  </w:style>
  <w:style w:styleId="style30" w:type="paragraph">
    <w:name w:val="Normal"/>
    <w:next w:val="style30"/>
    <w:pPr>
      <w:widowControl/>
      <w:tabs/>
      <w:suppressAutoHyphens w:val="true"/>
      <w:spacing w:after="0" w:before="0" w:line="100" w:lineRule="atLeast"/>
      <w:contextualSpacing w:val="false"/>
    </w:pPr>
    <w:rPr>
      <w:rFonts w:ascii="Arial" w:cs="Arial" w:eastAsia="SimSun" w:hAnsi="Arial"/>
      <w:color w:val="000000"/>
      <w:sz w:val="24"/>
      <w:szCs w:val="24"/>
      <w:lang w:bidi="ar-SA" w:eastAsia="en-US" w:val="sk-SK"/>
    </w:rPr>
  </w:style>
  <w:style w:styleId="style31" w:type="paragraph">
    <w:name w:val="Normal (Web)"/>
    <w:basedOn w:val="style0"/>
    <w:next w:val="style31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sk-SK"/>
    </w:rPr>
  </w:style>
  <w:style w:styleId="style32" w:type="paragraph">
    <w:name w:val="List Paragraph"/>
    <w:basedOn w:val="style0"/>
    <w:next w:val="style32"/>
    <w:pPr>
      <w:spacing w:after="16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iaditel@zpsvranov.sk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2019-06-13T19:42:00.00Z</dcterms:created>
  <dc:creator>KEREKEŠOVÁ Zuzana</dc:creator>
  <cp:lastModifiedBy>kerekesova</cp:lastModifiedBy>
  <cp:lastPrinted>2019-05-03T07:02:00.00Z</cp:lastPrinted>
  <dcterms:modified xsi:type="dcterms:W3CDTF">2019-06-21T09:08:00.00Z</dcterms:modified>
  <cp:revision>25</cp:revision>
</cp:coreProperties>
</file>